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C3" w:rsidRPr="009044C3" w:rsidRDefault="009044C3" w:rsidP="009044C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r w:rsidRPr="009044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PROJETO DE RESOLUÇÃO Nº 08/2024.</w:t>
      </w:r>
    </w:p>
    <w:p w:rsidR="009044C3" w:rsidRPr="009044C3" w:rsidRDefault="009044C3" w:rsidP="009044C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9044C3" w:rsidRPr="009044C3" w:rsidRDefault="009044C3" w:rsidP="009044C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9044C3" w:rsidRPr="009044C3" w:rsidRDefault="009044C3" w:rsidP="009044C3">
      <w:pPr>
        <w:spacing w:after="0"/>
        <w:ind w:left="453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044C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“Institui e disciplina a Tabela de Temporalidade dos documentos do Poder Legislativo do Município de Areado – MG, e dá outras providências”.</w:t>
      </w:r>
    </w:p>
    <w:p w:rsidR="009044C3" w:rsidRPr="009044C3" w:rsidRDefault="009044C3" w:rsidP="009044C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44C3" w:rsidRPr="009044C3" w:rsidRDefault="009044C3" w:rsidP="009044C3">
      <w:pPr>
        <w:pStyle w:val="NormalWeb"/>
        <w:spacing w:before="0" w:beforeAutospacing="0" w:after="0" w:afterAutospacing="0" w:line="276" w:lineRule="auto"/>
        <w:ind w:right="72"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Resolução:</w:t>
      </w:r>
    </w:p>
    <w:p w:rsidR="009044C3" w:rsidRPr="009044C3" w:rsidRDefault="009044C3" w:rsidP="009044C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044C3">
        <w:rPr>
          <w:color w:val="000000" w:themeColor="text1"/>
        </w:rPr>
        <w:t>Art. 1º. Fica instituída a Tabela de Temporalidade de documentos no âmbito do Poder Legislativo do Município de Areado, destinada a dar eficiência administrativa, a conservar, a proteger e a assegurar o acesso ao patrimônio documental da Câmara Municipal.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Parágrafo único. A Tabela de Temporalidade de documentos é o instrumento básico da Gestão Documental e resulta de um processo de análise que permite a identificação dos valores dos documentos para fins de definição de seus prazos de guarda e destinação.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Art. 2º. A classificação dos documentos observará a Tabela de Temporalidade, cujo procedimento de avaliação caberá à Comissão de Avaliação de Documentos, a ela cabendo: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 xml:space="preserve">I – </w:t>
      </w:r>
      <w:proofErr w:type="gramStart"/>
      <w:r w:rsidRPr="009044C3">
        <w:rPr>
          <w:color w:val="000000" w:themeColor="text1"/>
        </w:rPr>
        <w:t>efetuar</w:t>
      </w:r>
      <w:proofErr w:type="gramEnd"/>
      <w:r w:rsidRPr="009044C3">
        <w:rPr>
          <w:color w:val="000000" w:themeColor="text1"/>
        </w:rPr>
        <w:t xml:space="preserve"> o levantamento da documentação a ser trabalhada;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 xml:space="preserve">II – </w:t>
      </w:r>
      <w:proofErr w:type="gramStart"/>
      <w:r w:rsidRPr="009044C3">
        <w:rPr>
          <w:color w:val="000000" w:themeColor="text1"/>
        </w:rPr>
        <w:t>selecionar</w:t>
      </w:r>
      <w:proofErr w:type="gramEnd"/>
      <w:r w:rsidRPr="009044C3">
        <w:rPr>
          <w:color w:val="000000" w:themeColor="text1"/>
        </w:rPr>
        <w:t xml:space="preserve"> os documentos de acordo com sua classificação na Tabela de Temporalidade;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III – preparar os documentos para microfilmagem, digitalização ou incineração, observados os prazos e as classificações da tabela no anexo I;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 xml:space="preserve">IV – </w:t>
      </w:r>
      <w:proofErr w:type="gramStart"/>
      <w:r w:rsidRPr="009044C3">
        <w:rPr>
          <w:color w:val="000000" w:themeColor="text1"/>
        </w:rPr>
        <w:t>revisar</w:t>
      </w:r>
      <w:proofErr w:type="gramEnd"/>
      <w:r w:rsidRPr="009044C3">
        <w:rPr>
          <w:color w:val="000000" w:themeColor="text1"/>
        </w:rPr>
        <w:t xml:space="preserve"> a cada 3 (três) anos a tabela de temporalidade;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 xml:space="preserve">V – </w:t>
      </w:r>
      <w:proofErr w:type="gramStart"/>
      <w:r w:rsidRPr="009044C3">
        <w:rPr>
          <w:color w:val="000000" w:themeColor="text1"/>
        </w:rPr>
        <w:t>avaliar e classificar</w:t>
      </w:r>
      <w:proofErr w:type="gramEnd"/>
      <w:r w:rsidRPr="009044C3">
        <w:rPr>
          <w:color w:val="000000" w:themeColor="text1"/>
        </w:rPr>
        <w:t xml:space="preserve"> os documentos de valor histórico.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 xml:space="preserve">Parágrafo único. A comissão de que trata o </w:t>
      </w:r>
      <w:r w:rsidRPr="009044C3">
        <w:rPr>
          <w:i/>
          <w:color w:val="000000" w:themeColor="text1"/>
        </w:rPr>
        <w:t>caput</w:t>
      </w:r>
      <w:r w:rsidRPr="009044C3">
        <w:rPr>
          <w:color w:val="000000" w:themeColor="text1"/>
        </w:rPr>
        <w:t xml:space="preserve"> será composta por três membros designados por ato da Mesa Diretora. 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Art. 3º. Os documentos que são objetos desta Resolução se dividem em quatro grupos: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 xml:space="preserve">I – </w:t>
      </w:r>
      <w:proofErr w:type="gramStart"/>
      <w:r w:rsidRPr="009044C3">
        <w:rPr>
          <w:color w:val="000000" w:themeColor="text1"/>
        </w:rPr>
        <w:t>o</w:t>
      </w:r>
      <w:proofErr w:type="gramEnd"/>
      <w:r w:rsidRPr="009044C3">
        <w:rPr>
          <w:color w:val="000000" w:themeColor="text1"/>
        </w:rPr>
        <w:t xml:space="preserve"> de valor histórico, assim entendidos como aqueles cujo conteúdo estampado representa um momento histórico para a municipalidade;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 xml:space="preserve">II – </w:t>
      </w:r>
      <w:proofErr w:type="gramStart"/>
      <w:r w:rsidRPr="009044C3">
        <w:rPr>
          <w:color w:val="000000" w:themeColor="text1"/>
        </w:rPr>
        <w:t>o</w:t>
      </w:r>
      <w:proofErr w:type="gramEnd"/>
      <w:r w:rsidRPr="009044C3">
        <w:rPr>
          <w:color w:val="000000" w:themeColor="text1"/>
        </w:rPr>
        <w:t xml:space="preserve"> de guarda permanente, assim compreendido entre aqueles que decorrem das atividades administrativas, cujo conteúdo faz prova de ato administrativo de natureza contábil, fiscal, previdenciária, recursos humanos e tributária, bem como aqueles de atividades legislativas, conforme anexo I da presente resolução;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III – o de guarda temporária, assim entendido como aqueles que não reúnem valor que justifique sua armazenagem, e que são passíveis de eliminação após cumprida sua finalidade;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lastRenderedPageBreak/>
        <w:t xml:space="preserve">IV – </w:t>
      </w:r>
      <w:proofErr w:type="gramStart"/>
      <w:r w:rsidRPr="009044C3">
        <w:rPr>
          <w:color w:val="000000" w:themeColor="text1"/>
        </w:rPr>
        <w:t>o</w:t>
      </w:r>
      <w:proofErr w:type="gramEnd"/>
      <w:r w:rsidRPr="009044C3">
        <w:rPr>
          <w:color w:val="000000" w:themeColor="text1"/>
        </w:rPr>
        <w:t xml:space="preserve"> de conservação física, assim entendido como aqueles que serão guardados no arquivo físico da Câmara.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Art. 4º As divisões elencadas no artigo anterior, seguiram as definições contidas na Tabela de Temporalidade, instituída por esta resolução.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§ 1º. Os documentos, após serem recebidos ou produzidos pelo respectivo setor responsável, serão mantidos sob sua guarda pelo prazo indicado na Tabela de Temporalidade do anexo I desta Resolução.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 xml:space="preserve">§ 2º. Exauridos os respectivos prazos, os documentos de valor histórico, de guarda provisória e de guarda permanente serão encaminhados para a comissão de avaliação, que decidirá sobre a destinação, segundo as classificações da Tabela de Temporalidade. 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>Art. 5º. O destino dos documentos, ao fim do prazo estabelecido no anexo I, seguirá a classificação indicada na Tabela de Temporalidade, sendo:</w:t>
      </w: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– </w:t>
      </w:r>
      <w:proofErr w:type="gramStart"/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>incinerados</w:t>
      </w:r>
      <w:proofErr w:type="gramEnd"/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documentos de guarda temporária;</w:t>
      </w: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– </w:t>
      </w:r>
      <w:proofErr w:type="gramStart"/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>digitalizados ou microfilmados</w:t>
      </w:r>
      <w:proofErr w:type="gramEnd"/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documentos de guarda permanente;</w:t>
      </w: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>III – mantidos no arquivo físico;</w:t>
      </w: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 xml:space="preserve">IV – </w:t>
      </w:r>
      <w:proofErr w:type="gramStart"/>
      <w:r w:rsidRPr="009044C3">
        <w:rPr>
          <w:color w:val="000000" w:themeColor="text1"/>
        </w:rPr>
        <w:t>os</w:t>
      </w:r>
      <w:proofErr w:type="gramEnd"/>
      <w:r w:rsidRPr="009044C3">
        <w:rPr>
          <w:color w:val="000000" w:themeColor="text1"/>
        </w:rPr>
        <w:t xml:space="preserve"> documentos de valor histórico serão avaliados pela comissão e serão digitalizados ou microfilmados, bem como mantidos em arquivo físico.</w:t>
      </w: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>§ 1º. Em ambos os procedimentos, a comissão avaliará previamente, se o conteúdo estampado no respectivo documento justifica a conversão para formato digital, incineração ou manutenção no arquivo físico.</w:t>
      </w:r>
    </w:p>
    <w:p w:rsidR="009044C3" w:rsidRPr="009044C3" w:rsidRDefault="009044C3" w:rsidP="009044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§ 2º. O procedimento de incineração de acervo impresso será precedido de avaliação e classificação pela comissão, de acordo com a Tabela de Temporalidade.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 xml:space="preserve">§ 3º. A incineração de documentos será precedida da publicação de edital com 5 (cinco) dias de antecedência, nos termos do anexo II desta Resolução, e registrado em ata assinada pelos membros da comissão, na qual será lavrado o termo previsto no anexo III </w:t>
      </w:r>
      <w:proofErr w:type="gramStart"/>
      <w:r w:rsidRPr="009044C3">
        <w:rPr>
          <w:color w:val="000000" w:themeColor="text1"/>
        </w:rPr>
        <w:t>da presente</w:t>
      </w:r>
      <w:proofErr w:type="gramEnd"/>
      <w:r w:rsidRPr="009044C3">
        <w:rPr>
          <w:color w:val="000000" w:themeColor="text1"/>
        </w:rPr>
        <w:t>.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§ 4º. A comissão poderá utilizar outra forma de descarte diferente da incineração, desde que seja segura e eficiente.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Art. 6º. Integram esta Resolução os anexos de I a IV, que respectivamente estabelecem a Tabela de Temporalidade, o Edital de Ciência de Incineração de Documentos, o Termo de Incineração e o Fluxograma.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Art. 7º. Esta Resolução entra em vigor na data de sua publicação.</w:t>
      </w:r>
    </w:p>
    <w:p w:rsidR="009044C3" w:rsidRPr="009044C3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 w:themeColor="text1"/>
          <w:shd w:val="clear" w:color="auto" w:fill="FFFFFF"/>
        </w:rPr>
      </w:pPr>
    </w:p>
    <w:p w:rsidR="009044C3" w:rsidRPr="009044C3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 w:themeColor="text1"/>
          <w:shd w:val="clear" w:color="auto" w:fill="FFFFFF"/>
        </w:rPr>
      </w:pPr>
      <w:r w:rsidRPr="009044C3">
        <w:rPr>
          <w:color w:val="000000" w:themeColor="text1"/>
          <w:shd w:val="clear" w:color="auto" w:fill="FFFFFF"/>
        </w:rPr>
        <w:t>Câmara Municipal de Areado, em 7 de agosto de 2024.</w:t>
      </w:r>
    </w:p>
    <w:p w:rsidR="009044C3" w:rsidRPr="009044C3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 w:themeColor="text1"/>
          <w:shd w:val="clear" w:color="auto" w:fill="FFFFFF"/>
        </w:rPr>
      </w:pPr>
    </w:p>
    <w:tbl>
      <w:tblPr>
        <w:tblpPr w:leftFromText="141" w:rightFromText="141" w:vertAnchor="text" w:horzAnchor="margin" w:tblpXSpec="center" w:tblpY="8"/>
        <w:tblW w:w="10817" w:type="dxa"/>
        <w:tblLook w:val="04A0" w:firstRow="1" w:lastRow="0" w:firstColumn="1" w:lastColumn="0" w:noHBand="0" w:noVBand="1"/>
      </w:tblPr>
      <w:tblGrid>
        <w:gridCol w:w="3461"/>
        <w:gridCol w:w="3750"/>
        <w:gridCol w:w="3606"/>
      </w:tblGrid>
      <w:tr w:rsidR="009044C3" w:rsidRPr="009044C3" w:rsidTr="00E54DBA">
        <w:trPr>
          <w:trHeight w:val="545"/>
        </w:trPr>
        <w:tc>
          <w:tcPr>
            <w:tcW w:w="3461" w:type="dxa"/>
            <w:hideMark/>
          </w:tcPr>
          <w:p w:rsidR="009044C3" w:rsidRPr="009044C3" w:rsidRDefault="009044C3" w:rsidP="00E54DBA">
            <w:pPr>
              <w:pStyle w:val="Corpodetexto"/>
              <w:spacing w:line="276" w:lineRule="auto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 xml:space="preserve">       Elivelto Russo</w:t>
            </w:r>
          </w:p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 xml:space="preserve">          Presidente</w:t>
            </w:r>
          </w:p>
        </w:tc>
        <w:tc>
          <w:tcPr>
            <w:tcW w:w="3750" w:type="dxa"/>
          </w:tcPr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3606" w:type="dxa"/>
            <w:hideMark/>
          </w:tcPr>
          <w:p w:rsidR="009044C3" w:rsidRPr="009044C3" w:rsidRDefault="009044C3" w:rsidP="00E54DBA">
            <w:pPr>
              <w:pStyle w:val="Corpodetexto"/>
              <w:spacing w:line="276" w:lineRule="auto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>Mayke Kewin de Oliveira</w:t>
            </w:r>
          </w:p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 xml:space="preserve">            Secretário</w:t>
            </w:r>
          </w:p>
        </w:tc>
      </w:tr>
      <w:tr w:rsidR="009044C3" w:rsidRPr="009044C3" w:rsidTr="00E54DBA">
        <w:trPr>
          <w:trHeight w:val="1080"/>
        </w:trPr>
        <w:tc>
          <w:tcPr>
            <w:tcW w:w="3461" w:type="dxa"/>
          </w:tcPr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3750" w:type="dxa"/>
          </w:tcPr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</w:p>
          <w:p w:rsidR="009044C3" w:rsidRPr="009044C3" w:rsidRDefault="009044C3" w:rsidP="00E54DBA">
            <w:pPr>
              <w:pStyle w:val="Corpodetexto"/>
              <w:spacing w:line="276" w:lineRule="auto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>Rosângela bernardo Manoel</w:t>
            </w:r>
          </w:p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 xml:space="preserve">         Vice-Presidente</w:t>
            </w:r>
          </w:p>
        </w:tc>
        <w:tc>
          <w:tcPr>
            <w:tcW w:w="3606" w:type="dxa"/>
          </w:tcPr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</w:p>
        </w:tc>
      </w:tr>
    </w:tbl>
    <w:p w:rsidR="009044C3" w:rsidRPr="009044C3" w:rsidRDefault="009044C3" w:rsidP="009044C3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044C3" w:rsidRPr="009044C3" w:rsidRDefault="009044C3" w:rsidP="009044C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:rsidR="00B97892" w:rsidRPr="009044C3" w:rsidRDefault="00B97892" w:rsidP="00B97892">
      <w:pPr>
        <w:spacing w:after="111"/>
        <w:ind w:right="111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Tabela de Temporalidade </w:t>
      </w:r>
    </w:p>
    <w:p w:rsidR="00695964" w:rsidRPr="009044C3" w:rsidRDefault="00B97892" w:rsidP="00B97892">
      <w:pPr>
        <w:spacing w:after="111"/>
        <w:ind w:right="111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Anexo I – Resolução Nº ___ de ____ de __________ de 2024</w:t>
      </w:r>
    </w:p>
    <w:p w:rsidR="00B97892" w:rsidRPr="009044C3" w:rsidRDefault="00B97892" w:rsidP="006B533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B533C" w:rsidRPr="009044C3" w:rsidRDefault="006B533C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EXERCÍCIO DAS FUNÇÕES DO PODER LEGISLATIVO</w:t>
      </w: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770"/>
        <w:gridCol w:w="2199"/>
        <w:gridCol w:w="1701"/>
      </w:tblGrid>
      <w:tr w:rsidR="009044C3" w:rsidRPr="009044C3" w:rsidTr="00D322CD">
        <w:trPr>
          <w:trHeight w:val="765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ATIVIDADE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DOCUMENTO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DESTINAÇÃO</w:t>
            </w:r>
          </w:p>
        </w:tc>
      </w:tr>
      <w:tr w:rsidR="009044C3" w:rsidRPr="009044C3" w:rsidTr="00D322CD">
        <w:trPr>
          <w:trHeight w:val="765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45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9044C3">
              <w:rPr>
                <w:rStyle w:val="Refdenotaderodap"/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footnoteReference w:id="1"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TEMPORÁRIA/</w:t>
            </w:r>
          </w:p>
          <w:p w:rsidR="00D322CD" w:rsidRPr="009044C3" w:rsidRDefault="00D322CD" w:rsidP="0045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INCINERAÇÃO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45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PERMANENTE PARA DIGITALIZAÇÃO/ MICROFILMAGEM</w:t>
            </w:r>
          </w:p>
        </w:tc>
        <w:tc>
          <w:tcPr>
            <w:tcW w:w="1701" w:type="dxa"/>
          </w:tcPr>
          <w:p w:rsidR="00D322CD" w:rsidRPr="009044C3" w:rsidRDefault="00D322CD" w:rsidP="0085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  <w:t>GUARDA PERMANENTE ARQUIVO FÍSICO</w:t>
            </w:r>
          </w:p>
        </w:tc>
      </w:tr>
      <w:tr w:rsidR="009044C3" w:rsidRPr="009044C3" w:rsidTr="00D322CD">
        <w:trPr>
          <w:trHeight w:val="405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1.1.Atividades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Legislativas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Emenda à Lei Orgânica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rHeight w:val="240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Lei Complementar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rHeight w:val="60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Lei Ordinária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rHeight w:val="60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Decreto Legislativo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Resoluções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Autógrafo</w:t>
            </w:r>
          </w:p>
        </w:tc>
        <w:tc>
          <w:tcPr>
            <w:tcW w:w="1770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Projeto de Lei Complementar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85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85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Projeto de Lei Ordinária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85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85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Projeto de Decreto Legislativo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rHeight w:val="408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85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85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Projeto de Resolução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rHeight w:val="432"/>
          <w:tblCellSpacing w:w="0" w:type="dxa"/>
        </w:trPr>
        <w:tc>
          <w:tcPr>
            <w:tcW w:w="1555" w:type="dxa"/>
            <w:vMerge/>
            <w:vAlign w:val="center"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Atas da Mesa</w:t>
            </w:r>
          </w:p>
        </w:tc>
        <w:tc>
          <w:tcPr>
            <w:tcW w:w="1770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Ofícios 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Requerimentos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Indicações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Moção</w:t>
            </w:r>
          </w:p>
        </w:tc>
        <w:tc>
          <w:tcPr>
            <w:tcW w:w="1770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199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1.2 Atividades de Fiscalização</w:t>
            </w: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Relatório das CPIs / Sindicância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rHeight w:val="843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1.3 Atividades de Julgamento</w:t>
            </w:r>
          </w:p>
        </w:tc>
        <w:tc>
          <w:tcPr>
            <w:tcW w:w="3543" w:type="dxa"/>
            <w:vAlign w:val="center"/>
          </w:tcPr>
          <w:p w:rsidR="00D322CD" w:rsidRPr="009044C3" w:rsidRDefault="00D322CD" w:rsidP="00886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Processo de prestação de contas Tribunal de Contas do Estado de Minas Gerais/ qualquer outro tipo de procersso ou diligência do TCE/MG</w:t>
            </w:r>
          </w:p>
        </w:tc>
        <w:tc>
          <w:tcPr>
            <w:tcW w:w="1770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99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Processo de infrações político-administrativas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1.4 Composição das Comissões</w:t>
            </w: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Atas das reuniões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Correspondências recebidas e expedidas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1.5 Controle da realização de sessões legislativas</w:t>
            </w: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Atas das sessões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D2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Folha de presença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Pauta das sessões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rHeight w:val="597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1.6 Participação da Sociedade Civil</w:t>
            </w:r>
          </w:p>
        </w:tc>
        <w:tc>
          <w:tcPr>
            <w:tcW w:w="3543" w:type="dxa"/>
            <w:vAlign w:val="center"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Requerimento para uso da Tribuna</w:t>
            </w:r>
          </w:p>
        </w:tc>
        <w:tc>
          <w:tcPr>
            <w:tcW w:w="1770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199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9044C3" w:rsidRDefault="00D322CD" w:rsidP="006B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Solicitações recebidas pela Ouvidoria</w:t>
            </w:r>
          </w:p>
        </w:tc>
        <w:tc>
          <w:tcPr>
            <w:tcW w:w="1770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533C" w:rsidRPr="009044C3" w:rsidRDefault="006B533C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 ORGANIZAÇÃO E FUNCIONAMENTO ADMINISTRATIVO</w:t>
      </w: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 </w:t>
      </w:r>
    </w:p>
    <w:tbl>
      <w:tblPr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289"/>
        <w:gridCol w:w="1777"/>
        <w:gridCol w:w="2051"/>
        <w:gridCol w:w="1842"/>
      </w:tblGrid>
      <w:tr w:rsidR="009044C3" w:rsidRPr="009044C3" w:rsidTr="0088431F">
        <w:trPr>
          <w:tblCellSpacing w:w="0" w:type="dxa"/>
        </w:trPr>
        <w:tc>
          <w:tcPr>
            <w:tcW w:w="1809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ATIVIDADE</w:t>
            </w:r>
          </w:p>
        </w:tc>
        <w:tc>
          <w:tcPr>
            <w:tcW w:w="3289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DOCUMENTO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88431F" w:rsidRPr="009044C3" w:rsidRDefault="0088431F" w:rsidP="0088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DESTINAÇÃO</w:t>
            </w:r>
          </w:p>
        </w:tc>
      </w:tr>
      <w:tr w:rsidR="009044C3" w:rsidRPr="009044C3" w:rsidTr="00D322CD">
        <w:trPr>
          <w:trHeight w:val="1155"/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777" w:type="dxa"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TEMPORÁRIA/</w:t>
            </w:r>
          </w:p>
          <w:p w:rsidR="00D322CD" w:rsidRPr="009044C3" w:rsidRDefault="00D322CD" w:rsidP="0070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INCINERAÇÃO</w:t>
            </w:r>
          </w:p>
        </w:tc>
        <w:tc>
          <w:tcPr>
            <w:tcW w:w="2051" w:type="dxa"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PERMANENTE PARA DIGITALIZAÇÃO/ MICROFILMAGEM</w:t>
            </w:r>
          </w:p>
        </w:tc>
        <w:tc>
          <w:tcPr>
            <w:tcW w:w="1842" w:type="dxa"/>
          </w:tcPr>
          <w:p w:rsidR="00D322CD" w:rsidRPr="009044C3" w:rsidRDefault="00D322CD" w:rsidP="0070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  <w:t>GUARDA PERMANENTE ARQUIVO FÍSICO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 w:val="restart"/>
            <w:vAlign w:val="center"/>
            <w:hideMark/>
          </w:tcPr>
          <w:p w:rsidR="00D322CD" w:rsidRPr="009044C3" w:rsidRDefault="00D322CD" w:rsidP="00D81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 Jurídico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Ações diretas de inconstitucionalidade</w:t>
            </w:r>
          </w:p>
        </w:tc>
        <w:tc>
          <w:tcPr>
            <w:tcW w:w="177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Contratos de Prestação de Serviço</w:t>
            </w:r>
          </w:p>
        </w:tc>
        <w:tc>
          <w:tcPr>
            <w:tcW w:w="177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1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Convênios multi instituído</w:t>
            </w:r>
          </w:p>
        </w:tc>
        <w:tc>
          <w:tcPr>
            <w:tcW w:w="177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Convênio Plano de Saúde</w:t>
            </w:r>
          </w:p>
        </w:tc>
        <w:tc>
          <w:tcPr>
            <w:tcW w:w="177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Contrato de Consignado</w:t>
            </w:r>
          </w:p>
        </w:tc>
        <w:tc>
          <w:tcPr>
            <w:tcW w:w="177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Contrato de Folha de Pagamento</w:t>
            </w:r>
          </w:p>
        </w:tc>
        <w:tc>
          <w:tcPr>
            <w:tcW w:w="177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Pareceres Jurídicos referentes ao Recursos Humanos</w:t>
            </w:r>
          </w:p>
        </w:tc>
        <w:tc>
          <w:tcPr>
            <w:tcW w:w="177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Pareceres Jurídicos Licitatórios????</w:t>
            </w:r>
          </w:p>
        </w:tc>
        <w:tc>
          <w:tcPr>
            <w:tcW w:w="177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Pareceres Jurídicos (administrativos) </w:t>
            </w:r>
          </w:p>
        </w:tc>
        <w:tc>
          <w:tcPr>
            <w:tcW w:w="177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5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Pareceres jurídicos (legislativos)</w:t>
            </w:r>
          </w:p>
        </w:tc>
        <w:tc>
          <w:tcPr>
            <w:tcW w:w="177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51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9044C3" w:rsidRDefault="00D322CD" w:rsidP="0033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Processo licitatório de Contratação direta Dispensa / Inexigibilidade</w:t>
            </w:r>
          </w:p>
        </w:tc>
        <w:tc>
          <w:tcPr>
            <w:tcW w:w="177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051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9044C3" w:rsidRDefault="00D322CD" w:rsidP="0033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Processo licitatório do Art. 28 da Lei n 14.133/2021</w:t>
            </w:r>
          </w:p>
        </w:tc>
        <w:tc>
          <w:tcPr>
            <w:tcW w:w="177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5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Ações / autos de processos judiciais junto ao Poder Judiciário ou Ministério Público</w:t>
            </w:r>
          </w:p>
        </w:tc>
        <w:tc>
          <w:tcPr>
            <w:tcW w:w="177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rHeight w:val="1942"/>
          <w:tblCellSpacing w:w="0" w:type="dxa"/>
        </w:trPr>
        <w:tc>
          <w:tcPr>
            <w:tcW w:w="180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2.2 Composição, funcionamento e Deliberação da Mesa diretora e da Presidência</w:t>
            </w:r>
          </w:p>
        </w:tc>
        <w:tc>
          <w:tcPr>
            <w:tcW w:w="3289" w:type="dxa"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Portarias</w:t>
            </w:r>
          </w:p>
        </w:tc>
        <w:tc>
          <w:tcPr>
            <w:tcW w:w="1777" w:type="dxa"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51" w:type="dxa"/>
            <w:vAlign w:val="center"/>
          </w:tcPr>
          <w:p w:rsidR="00D322CD" w:rsidRPr="009044C3" w:rsidRDefault="00D322CD" w:rsidP="0070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812F19" w:rsidRPr="009044C3" w:rsidRDefault="006B533C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812F19"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12F19" w:rsidRPr="009044C3" w:rsidRDefault="00812F19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E79" w:rsidRPr="009044C3" w:rsidRDefault="00332E79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E79" w:rsidRPr="009044C3" w:rsidRDefault="00332E79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E79" w:rsidRPr="009044C3" w:rsidRDefault="00332E79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E79" w:rsidRPr="009044C3" w:rsidRDefault="00332E79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E79" w:rsidRPr="009044C3" w:rsidRDefault="00332E79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2CD" w:rsidRPr="009044C3" w:rsidRDefault="00D322C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6B533C" w:rsidRPr="009044C3" w:rsidRDefault="00812F19" w:rsidP="006B533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</w:t>
      </w:r>
      <w:r w:rsidR="006B533C"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COMUNICAÇÃO INSTITUCIONAL</w:t>
      </w:r>
      <w:r w:rsidR="006B533C"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813" w:rsidRPr="009044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 RECURSOS HUMANOS</w:t>
      </w:r>
    </w:p>
    <w:tbl>
      <w:tblPr>
        <w:tblpPr w:leftFromText="36" w:rightFromText="36" w:vertAnchor="text"/>
        <w:tblW w:w="10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3261"/>
        <w:gridCol w:w="1774"/>
        <w:gridCol w:w="2247"/>
        <w:gridCol w:w="1901"/>
      </w:tblGrid>
      <w:tr w:rsidR="009044C3" w:rsidRPr="009044C3" w:rsidTr="0088431F">
        <w:trPr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ATIVIDADE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DOCUMENTO</w:t>
            </w:r>
          </w:p>
        </w:tc>
        <w:tc>
          <w:tcPr>
            <w:tcW w:w="5922" w:type="dxa"/>
            <w:gridSpan w:val="3"/>
            <w:vAlign w:val="center"/>
            <w:hideMark/>
          </w:tcPr>
          <w:p w:rsidR="0088431F" w:rsidRPr="009044C3" w:rsidRDefault="0088431F" w:rsidP="0088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DESTINAÇÃO</w:t>
            </w:r>
          </w:p>
        </w:tc>
      </w:tr>
      <w:tr w:rsidR="009044C3" w:rsidRPr="009044C3" w:rsidTr="00D322CD">
        <w:trPr>
          <w:trHeight w:val="945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9044C3" w:rsidRDefault="00D322CD" w:rsidP="0033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D322CD" w:rsidRPr="009044C3" w:rsidRDefault="00D322CD" w:rsidP="0033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774" w:type="dxa"/>
            <w:vAlign w:val="center"/>
            <w:hideMark/>
          </w:tcPr>
          <w:p w:rsidR="00D322CD" w:rsidRPr="009044C3" w:rsidRDefault="00D322CD" w:rsidP="0033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TEMPORÁRIA/</w:t>
            </w:r>
          </w:p>
          <w:p w:rsidR="00D322CD" w:rsidRPr="009044C3" w:rsidRDefault="00D322CD" w:rsidP="0033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INCINERAÇÃO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33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PERMANENTE PARA DIGITALIZAÇÃO/ MICROFILMAGEM</w:t>
            </w:r>
          </w:p>
        </w:tc>
        <w:tc>
          <w:tcPr>
            <w:tcW w:w="1901" w:type="dxa"/>
          </w:tcPr>
          <w:p w:rsidR="00D322CD" w:rsidRPr="009044C3" w:rsidRDefault="00D322CD" w:rsidP="0033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  <w:t>GUARDA PERMANENTE ARQUIVO FÍSICO</w:t>
            </w:r>
          </w:p>
        </w:tc>
      </w:tr>
      <w:tr w:rsidR="009044C3" w:rsidRPr="009044C3" w:rsidTr="00D322CD">
        <w:trPr>
          <w:trHeight w:val="267"/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88431F"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Controle da Movimentação Funcional</w:t>
            </w:r>
          </w:p>
        </w:tc>
        <w:tc>
          <w:tcPr>
            <w:tcW w:w="3261" w:type="dxa"/>
            <w:vAlign w:val="center"/>
            <w:hideMark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Pasta por servidor Comissionado</w:t>
            </w:r>
          </w:p>
        </w:tc>
        <w:tc>
          <w:tcPr>
            <w:tcW w:w="1774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rHeight w:val="403"/>
          <w:tblCellSpacing w:w="0" w:type="dxa"/>
        </w:trPr>
        <w:tc>
          <w:tcPr>
            <w:tcW w:w="1727" w:type="dxa"/>
            <w:vMerge/>
            <w:vAlign w:val="center"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Pasta por servidor efetivo </w:t>
            </w:r>
          </w:p>
        </w:tc>
        <w:tc>
          <w:tcPr>
            <w:tcW w:w="1774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Pasta por Vereador</w:t>
            </w:r>
          </w:p>
        </w:tc>
        <w:tc>
          <w:tcPr>
            <w:tcW w:w="1774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rHeight w:val="529"/>
          <w:tblCellSpacing w:w="0" w:type="dxa"/>
        </w:trPr>
        <w:tc>
          <w:tcPr>
            <w:tcW w:w="172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8431F"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3.2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Recursos Humanos</w:t>
            </w:r>
          </w:p>
        </w:tc>
        <w:tc>
          <w:tcPr>
            <w:tcW w:w="3261" w:type="dxa"/>
            <w:vAlign w:val="center"/>
            <w:hideMark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Grade de tempo de serviço</w:t>
            </w:r>
          </w:p>
        </w:tc>
        <w:tc>
          <w:tcPr>
            <w:tcW w:w="1774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rHeight w:val="582"/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D322CD" w:rsidRPr="009044C3" w:rsidRDefault="0088431F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3.3 </w:t>
            </w:r>
            <w:r w:rsidR="00D322CD"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Recrutamento e afastamento de pessoal</w:t>
            </w:r>
          </w:p>
        </w:tc>
        <w:tc>
          <w:tcPr>
            <w:tcW w:w="326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Processo de Concurso Público</w:t>
            </w:r>
          </w:p>
        </w:tc>
        <w:tc>
          <w:tcPr>
            <w:tcW w:w="1774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rHeight w:val="582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Processo de Exoneração Dispensa</w:t>
            </w:r>
          </w:p>
        </w:tc>
        <w:tc>
          <w:tcPr>
            <w:tcW w:w="1774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rHeight w:val="313"/>
          <w:tblCellSpacing w:w="0" w:type="dxa"/>
        </w:trPr>
        <w:tc>
          <w:tcPr>
            <w:tcW w:w="1727" w:type="dxa"/>
            <w:vMerge/>
            <w:vAlign w:val="center"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9044C3" w:rsidRDefault="00D322CD" w:rsidP="002E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Processo Administrativo Disciplinar / Sindicância</w:t>
            </w:r>
          </w:p>
        </w:tc>
        <w:tc>
          <w:tcPr>
            <w:tcW w:w="1774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rHeight w:val="449"/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8431F"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3.4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Controle de frequência</w:t>
            </w:r>
          </w:p>
        </w:tc>
        <w:tc>
          <w:tcPr>
            <w:tcW w:w="326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Controle de Presença de Vereador</w:t>
            </w:r>
          </w:p>
        </w:tc>
        <w:tc>
          <w:tcPr>
            <w:tcW w:w="1774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Controle de Presença de Servidores</w:t>
            </w:r>
          </w:p>
        </w:tc>
        <w:tc>
          <w:tcPr>
            <w:tcW w:w="1774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rHeight w:val="56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Controle de horas-extras</w:t>
            </w:r>
          </w:p>
        </w:tc>
        <w:tc>
          <w:tcPr>
            <w:tcW w:w="1774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rHeight w:val="710"/>
          <w:tblCellSpacing w:w="0" w:type="dxa"/>
        </w:trPr>
        <w:tc>
          <w:tcPr>
            <w:tcW w:w="172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8431F"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3.5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Concessão de direitos, vantagens e benefícios</w:t>
            </w:r>
          </w:p>
        </w:tc>
        <w:tc>
          <w:tcPr>
            <w:tcW w:w="326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Relatório de diárias????</w:t>
            </w:r>
          </w:p>
        </w:tc>
        <w:tc>
          <w:tcPr>
            <w:tcW w:w="1774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D322CD">
        <w:trPr>
          <w:trHeight w:val="442"/>
          <w:tblCellSpacing w:w="0" w:type="dxa"/>
        </w:trPr>
        <w:tc>
          <w:tcPr>
            <w:tcW w:w="172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8431F"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3.6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Capacitação e aperfeiçoamento funcional</w:t>
            </w:r>
          </w:p>
        </w:tc>
        <w:tc>
          <w:tcPr>
            <w:tcW w:w="3261" w:type="dxa"/>
            <w:vAlign w:val="center"/>
            <w:hideMark/>
          </w:tcPr>
          <w:p w:rsidR="00D322CD" w:rsidRPr="009044C3" w:rsidRDefault="00D322CD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Designação para participação de evento/curso</w:t>
            </w:r>
          </w:p>
        </w:tc>
        <w:tc>
          <w:tcPr>
            <w:tcW w:w="1774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444"/>
          <w:tblCellSpacing w:w="0" w:type="dxa"/>
        </w:trPr>
        <w:tc>
          <w:tcPr>
            <w:tcW w:w="1727" w:type="dxa"/>
            <w:vAlign w:val="center"/>
            <w:hideMark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3.7 Controle de pagamentos</w:t>
            </w:r>
          </w:p>
        </w:tc>
        <w:tc>
          <w:tcPr>
            <w:tcW w:w="3261" w:type="dxa"/>
            <w:vAlign w:val="center"/>
          </w:tcPr>
          <w:p w:rsidR="0088431F" w:rsidRPr="009044C3" w:rsidRDefault="0088431F" w:rsidP="001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Relatório analítico da Folha de pagamento</w:t>
            </w:r>
          </w:p>
        </w:tc>
        <w:tc>
          <w:tcPr>
            <w:tcW w:w="1774" w:type="dxa"/>
            <w:vAlign w:val="center"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9044C3" w:rsidRDefault="0088431F" w:rsidP="00A4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3.8 Recolhimento de encargos sociais e contribuições</w:t>
            </w:r>
          </w:p>
          <w:p w:rsidR="0088431F" w:rsidRPr="009044C3" w:rsidRDefault="0088431F" w:rsidP="001A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61" w:type="dxa"/>
            <w:vAlign w:val="center"/>
            <w:hideMark/>
          </w:tcPr>
          <w:p w:rsidR="0088431F" w:rsidRPr="009044C3" w:rsidRDefault="0088431F" w:rsidP="0063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DARF / RAIS/ INSS</w:t>
            </w:r>
          </w:p>
        </w:tc>
        <w:tc>
          <w:tcPr>
            <w:tcW w:w="1774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9044C3" w:rsidRDefault="0088431F" w:rsidP="001A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9044C3" w:rsidRDefault="0088431F" w:rsidP="005A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GFIP / SEFIP / GPS</w:t>
            </w:r>
          </w:p>
        </w:tc>
        <w:tc>
          <w:tcPr>
            <w:tcW w:w="1774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9044C3" w:rsidRDefault="0088431F" w:rsidP="001A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9044C3" w:rsidRDefault="0088431F" w:rsidP="005A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Dirf /  DCTF</w:t>
            </w:r>
          </w:p>
        </w:tc>
        <w:tc>
          <w:tcPr>
            <w:tcW w:w="1774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9044C3" w:rsidRDefault="0088431F" w:rsidP="001A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9044C3" w:rsidRDefault="0088431F" w:rsidP="005A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DCTFWEB / EFD-REINF</w:t>
            </w:r>
          </w:p>
        </w:tc>
        <w:tc>
          <w:tcPr>
            <w:tcW w:w="1774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9044C3" w:rsidRDefault="0088431F" w:rsidP="001A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9044C3" w:rsidRDefault="0088431F" w:rsidP="0063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FICHA FINANCEIRA E IMPOSTO DE RENDA</w:t>
            </w:r>
          </w:p>
        </w:tc>
        <w:tc>
          <w:tcPr>
            <w:tcW w:w="1774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9044C3" w:rsidRDefault="0088431F" w:rsidP="001A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9044C3" w:rsidRDefault="0088431F" w:rsidP="0063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Comprovante de recolhimento das contribuições do Plano Multi Instituído</w:t>
            </w:r>
          </w:p>
        </w:tc>
        <w:tc>
          <w:tcPr>
            <w:tcW w:w="1774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D322CD">
        <w:trPr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88431F" w:rsidRPr="009044C3" w:rsidRDefault="0088431F" w:rsidP="001A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88431F" w:rsidRPr="009044C3" w:rsidRDefault="0088431F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Recolhimento contribuição sindical</w:t>
            </w:r>
          </w:p>
        </w:tc>
        <w:tc>
          <w:tcPr>
            <w:tcW w:w="1774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668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88431F" w:rsidRPr="009044C3" w:rsidRDefault="0088431F" w:rsidP="0063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9044C3" w:rsidRDefault="0088431F" w:rsidP="00A6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BACKUP DOS SOFTWARES DOS DADOS DA FOLHA DE PAGAMENTO E PREVIDÊNCIA</w:t>
            </w:r>
          </w:p>
        </w:tc>
        <w:tc>
          <w:tcPr>
            <w:tcW w:w="1774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NÚVEM E-MAIL CONTABIL.CAM. AREADO</w:t>
            </w:r>
          </w:p>
        </w:tc>
      </w:tr>
    </w:tbl>
    <w:p w:rsidR="006B533C" w:rsidRPr="009044C3" w:rsidRDefault="006B533C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="00A01B54"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 BENS E MATERIAIS</w:t>
      </w: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546"/>
        <w:gridCol w:w="1767"/>
        <w:gridCol w:w="2247"/>
        <w:gridCol w:w="1797"/>
      </w:tblGrid>
      <w:tr w:rsidR="009044C3" w:rsidRPr="009044C3" w:rsidTr="0088431F">
        <w:trPr>
          <w:tblCellSpacing w:w="0" w:type="dxa"/>
        </w:trPr>
        <w:tc>
          <w:tcPr>
            <w:tcW w:w="1411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ATIVIDADE</w:t>
            </w:r>
          </w:p>
        </w:tc>
        <w:tc>
          <w:tcPr>
            <w:tcW w:w="3546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DOCUMENTO</w:t>
            </w:r>
          </w:p>
        </w:tc>
        <w:tc>
          <w:tcPr>
            <w:tcW w:w="5811" w:type="dxa"/>
            <w:gridSpan w:val="3"/>
            <w:vAlign w:val="center"/>
            <w:hideMark/>
          </w:tcPr>
          <w:p w:rsidR="0088431F" w:rsidRPr="009044C3" w:rsidRDefault="0088431F" w:rsidP="0088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DESTINAÇÃO</w:t>
            </w:r>
          </w:p>
        </w:tc>
      </w:tr>
      <w:tr w:rsidR="009044C3" w:rsidRPr="009044C3" w:rsidTr="0088431F">
        <w:trPr>
          <w:trHeight w:val="11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5A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D322CD" w:rsidRPr="009044C3" w:rsidRDefault="00D322CD" w:rsidP="005A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5A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TEMPORÁRIA/</w:t>
            </w:r>
          </w:p>
          <w:p w:rsidR="00D322CD" w:rsidRPr="009044C3" w:rsidRDefault="00D322CD" w:rsidP="005A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INCINERAÇÃO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5A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PERMANENTE PARA DIGITALIZAÇÃO/ MICROFILMAGEM</w:t>
            </w:r>
          </w:p>
        </w:tc>
        <w:tc>
          <w:tcPr>
            <w:tcW w:w="1797" w:type="dxa"/>
          </w:tcPr>
          <w:p w:rsidR="00D322CD" w:rsidRPr="009044C3" w:rsidRDefault="00D322CD" w:rsidP="005A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  <w:t>GUARDA PERMANENTE ARQUIVO FÍSICO</w:t>
            </w:r>
          </w:p>
        </w:tc>
      </w:tr>
      <w:tr w:rsidR="009044C3" w:rsidRPr="009044C3" w:rsidTr="0088431F">
        <w:trPr>
          <w:tblCellSpacing w:w="0" w:type="dxa"/>
        </w:trPr>
        <w:tc>
          <w:tcPr>
            <w:tcW w:w="1411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4.1 Controle de compras e contratação de serviços</w:t>
            </w:r>
          </w:p>
        </w:tc>
        <w:tc>
          <w:tcPr>
            <w:tcW w:w="3546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Certificado de garantia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6705E7">
        <w:trPr>
          <w:trHeight w:val="582"/>
          <w:tblCellSpacing w:w="0" w:type="dxa"/>
        </w:trPr>
        <w:tc>
          <w:tcPr>
            <w:tcW w:w="1411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4.2 Controle de bens patrimoniais</w:t>
            </w:r>
          </w:p>
          <w:p w:rsidR="0088431F" w:rsidRPr="009044C3" w:rsidRDefault="0088431F" w:rsidP="00B9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6" w:type="dxa"/>
            <w:vAlign w:val="center"/>
          </w:tcPr>
          <w:p w:rsidR="0088431F" w:rsidRPr="009044C3" w:rsidRDefault="0088431F" w:rsidP="002D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Baixa de bens</w:t>
            </w:r>
          </w:p>
        </w:tc>
        <w:tc>
          <w:tcPr>
            <w:tcW w:w="1767" w:type="dxa"/>
            <w:vAlign w:val="center"/>
          </w:tcPr>
          <w:p w:rsidR="0088431F" w:rsidRPr="009044C3" w:rsidRDefault="0088431F" w:rsidP="00AE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B9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Termo de depreciação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8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8431F" w:rsidRPr="009044C3" w:rsidRDefault="0088431F" w:rsidP="00B9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Inventário de bens patrimoniais</w:t>
            </w:r>
          </w:p>
        </w:tc>
        <w:tc>
          <w:tcPr>
            <w:tcW w:w="1767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Termo de responsabilidade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45813" w:rsidRPr="009044C3" w:rsidRDefault="00F45813" w:rsidP="006B5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322CD" w:rsidRPr="009044C3" w:rsidRDefault="00D322C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6B533C" w:rsidRPr="009044C3" w:rsidRDefault="00A01B54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</w:t>
      </w:r>
      <w:r w:rsidR="005377F9"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ORÇAMENTO E FINANÇAS</w:t>
      </w:r>
      <w:r w:rsidR="006B533C"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57"/>
        <w:gridCol w:w="1767"/>
        <w:gridCol w:w="2247"/>
        <w:gridCol w:w="1797"/>
      </w:tblGrid>
      <w:tr w:rsidR="009044C3" w:rsidRPr="009044C3" w:rsidTr="0088431F">
        <w:trPr>
          <w:trHeight w:val="345"/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ATIVIDADE</w:t>
            </w:r>
          </w:p>
        </w:tc>
        <w:tc>
          <w:tcPr>
            <w:tcW w:w="3457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DOCUMENTO</w:t>
            </w:r>
          </w:p>
        </w:tc>
        <w:tc>
          <w:tcPr>
            <w:tcW w:w="5811" w:type="dxa"/>
            <w:gridSpan w:val="3"/>
            <w:vAlign w:val="center"/>
            <w:hideMark/>
          </w:tcPr>
          <w:p w:rsidR="0088431F" w:rsidRPr="009044C3" w:rsidRDefault="0088431F" w:rsidP="0088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DESTINAÇÃO</w:t>
            </w:r>
          </w:p>
        </w:tc>
      </w:tr>
      <w:tr w:rsidR="009044C3" w:rsidRPr="009044C3" w:rsidTr="0088431F">
        <w:trPr>
          <w:trHeight w:val="10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8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457" w:type="dxa"/>
            <w:vMerge/>
            <w:vAlign w:val="center"/>
            <w:hideMark/>
          </w:tcPr>
          <w:p w:rsidR="00D322CD" w:rsidRPr="009044C3" w:rsidRDefault="00D322CD" w:rsidP="0088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88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TEMPORÁRIA/</w:t>
            </w:r>
          </w:p>
          <w:p w:rsidR="00D322CD" w:rsidRPr="009044C3" w:rsidRDefault="00D322CD" w:rsidP="0088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INCINERAÇÃO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88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PERMANENTE PARA DIGITALIZAÇÃO/ MICROFILMAGEM</w:t>
            </w:r>
          </w:p>
        </w:tc>
        <w:tc>
          <w:tcPr>
            <w:tcW w:w="1797" w:type="dxa"/>
          </w:tcPr>
          <w:p w:rsidR="00D322CD" w:rsidRPr="009044C3" w:rsidRDefault="00D322CD" w:rsidP="0088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  <w:t>GUARDA PERMANENTE ARQUIVO FÍSICO</w:t>
            </w:r>
          </w:p>
        </w:tc>
      </w:tr>
      <w:tr w:rsidR="009044C3" w:rsidRPr="009044C3" w:rsidTr="0088431F">
        <w:trPr>
          <w:trHeight w:val="435"/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88431F"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Controle Financeiro</w:t>
            </w: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Processo de conciliação bancária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notas de empenhos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Cópia de cheque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Comprante PIX / transferência bancária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Cópia de cheque da devolução de saldos e verbas do exercício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465"/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88431F"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Controle de Contabilidade</w:t>
            </w: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Balancetes de despesas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Balancetes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Razão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Diário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Espelho das despesas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Ofício encaminhando cópia de balancete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315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Balancete Financeiro 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405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Balancete Orçamentário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241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Balancete Patrimonial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361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Cronologia de pagamentos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352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Execução Orçamentária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331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Fluxo de caixa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323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Variações patrimoniais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Relatório da despesa por período e valor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Relatório da despesa orçamentária pagos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Relatório da despesa extraorçamentaria por período e valor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Relatório da despesa extraorçamentario pagos 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Histórico da receita extraorçamentária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393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Histórico bancário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2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Balancete completo mensal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78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Ficha e guia bancária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jc w:val="center"/>
              <w:rPr>
                <w:color w:val="000000" w:themeColor="text1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41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Declaração e recibo SICONF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40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Recibo do SICOM</w:t>
            </w:r>
          </w:p>
        </w:tc>
        <w:tc>
          <w:tcPr>
            <w:tcW w:w="176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6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Recibo de entrega de dados contábeis SISTN e declaração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SISTN- sistema de Coleta de Dados Contábeis dos Entes da Federação</w:t>
            </w:r>
          </w:p>
        </w:tc>
        <w:tc>
          <w:tcPr>
            <w:tcW w:w="176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431F" w:rsidRPr="009044C3" w:rsidRDefault="006B533C" w:rsidP="006B5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</w:t>
      </w: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8431F" w:rsidRPr="009044C3" w:rsidRDefault="0088431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6B533C" w:rsidRPr="009044C3" w:rsidRDefault="00A01B54" w:rsidP="006B53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</w:t>
      </w:r>
      <w:r w:rsidR="00F45813"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DOCUMENTOS E INFORMAÇÕES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3296"/>
        <w:gridCol w:w="1749"/>
        <w:gridCol w:w="2224"/>
        <w:gridCol w:w="1692"/>
      </w:tblGrid>
      <w:tr w:rsidR="009044C3" w:rsidRPr="009044C3" w:rsidTr="0088431F">
        <w:trPr>
          <w:trHeight w:val="360"/>
          <w:tblCellSpacing w:w="0" w:type="dxa"/>
        </w:trPr>
        <w:tc>
          <w:tcPr>
            <w:tcW w:w="1807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ATIVIDADE</w:t>
            </w:r>
          </w:p>
        </w:tc>
        <w:tc>
          <w:tcPr>
            <w:tcW w:w="3296" w:type="dxa"/>
            <w:vMerge w:val="restart"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DOCUMENTO</w:t>
            </w:r>
          </w:p>
        </w:tc>
        <w:tc>
          <w:tcPr>
            <w:tcW w:w="5665" w:type="dxa"/>
            <w:gridSpan w:val="3"/>
            <w:vAlign w:val="center"/>
            <w:hideMark/>
          </w:tcPr>
          <w:p w:rsidR="0088431F" w:rsidRPr="009044C3" w:rsidRDefault="0088431F" w:rsidP="0088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DESTINAÇÃO</w:t>
            </w:r>
          </w:p>
        </w:tc>
      </w:tr>
      <w:tr w:rsidR="009044C3" w:rsidRPr="009044C3" w:rsidTr="0088431F">
        <w:trPr>
          <w:trHeight w:val="130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9044C3" w:rsidRDefault="00D322CD" w:rsidP="0057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D322CD" w:rsidRPr="009044C3" w:rsidRDefault="00D322CD" w:rsidP="0057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749" w:type="dxa"/>
            <w:vAlign w:val="center"/>
            <w:hideMark/>
          </w:tcPr>
          <w:p w:rsidR="00D322CD" w:rsidRPr="009044C3" w:rsidRDefault="00D322CD" w:rsidP="0057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TEMPORÁRIA/</w:t>
            </w:r>
          </w:p>
          <w:p w:rsidR="00D322CD" w:rsidRPr="009044C3" w:rsidRDefault="00D322CD" w:rsidP="0057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INCINERAÇÃO</w:t>
            </w:r>
          </w:p>
        </w:tc>
        <w:tc>
          <w:tcPr>
            <w:tcW w:w="2224" w:type="dxa"/>
            <w:vAlign w:val="center"/>
            <w:hideMark/>
          </w:tcPr>
          <w:p w:rsidR="00D322CD" w:rsidRPr="009044C3" w:rsidRDefault="00D322CD" w:rsidP="0057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GUARDA PERMANENTE PARA DIGITALIZAÇÃO/ MICROFILMAGEM</w:t>
            </w:r>
          </w:p>
        </w:tc>
        <w:tc>
          <w:tcPr>
            <w:tcW w:w="1692" w:type="dxa"/>
          </w:tcPr>
          <w:p w:rsidR="00D322CD" w:rsidRPr="009044C3" w:rsidRDefault="00D322CD" w:rsidP="0057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</w:rPr>
              <w:t>GUARDA PERMANENTE ARQUIVO FÍSICO</w:t>
            </w:r>
          </w:p>
        </w:tc>
      </w:tr>
      <w:tr w:rsidR="009044C3" w:rsidRPr="009044C3" w:rsidTr="0088431F">
        <w:trPr>
          <w:trHeight w:val="660"/>
          <w:tblCellSpacing w:w="0" w:type="dxa"/>
        </w:trPr>
        <w:tc>
          <w:tcPr>
            <w:tcW w:w="1807" w:type="dxa"/>
            <w:vMerge w:val="restart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88431F"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Gestão de documentos</w:t>
            </w:r>
          </w:p>
        </w:tc>
        <w:tc>
          <w:tcPr>
            <w:tcW w:w="3296" w:type="dxa"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ATAS de reuniões da Comissão de Avaliação de Documentos</w:t>
            </w:r>
          </w:p>
        </w:tc>
        <w:tc>
          <w:tcPr>
            <w:tcW w:w="1749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291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Editais de eliminação</w:t>
            </w:r>
          </w:p>
        </w:tc>
        <w:tc>
          <w:tcPr>
            <w:tcW w:w="174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253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Livro de protocolo</w:t>
            </w:r>
          </w:p>
        </w:tc>
        <w:tc>
          <w:tcPr>
            <w:tcW w:w="1749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247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9044C3" w:rsidRDefault="00D322CD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  <w:hideMark/>
          </w:tcPr>
          <w:p w:rsidR="00D322CD" w:rsidRPr="009044C3" w:rsidRDefault="00D322CD" w:rsidP="00B97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Termo de eliminação</w:t>
            </w:r>
          </w:p>
        </w:tc>
        <w:tc>
          <w:tcPr>
            <w:tcW w:w="1749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044C3" w:rsidRPr="009044C3" w:rsidTr="0088431F">
        <w:trPr>
          <w:trHeight w:val="765"/>
          <w:tblCellSpacing w:w="0" w:type="dxa"/>
        </w:trPr>
        <w:tc>
          <w:tcPr>
            <w:tcW w:w="1807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88431F"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Comunicação administrativa</w:t>
            </w:r>
          </w:p>
        </w:tc>
        <w:tc>
          <w:tcPr>
            <w:tcW w:w="3296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Comunicações internas (circulares, memorandos, ordens de serviço)</w:t>
            </w:r>
          </w:p>
        </w:tc>
        <w:tc>
          <w:tcPr>
            <w:tcW w:w="1749" w:type="dxa"/>
            <w:vAlign w:val="center"/>
            <w:hideMark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224" w:type="dxa"/>
            <w:vAlign w:val="center"/>
            <w:hideMark/>
          </w:tcPr>
          <w:p w:rsidR="00D322CD" w:rsidRPr="009044C3" w:rsidRDefault="00D322CD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9044C3" w:rsidRDefault="00D322CD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540"/>
          <w:tblCellSpacing w:w="0" w:type="dxa"/>
        </w:trPr>
        <w:tc>
          <w:tcPr>
            <w:tcW w:w="1807" w:type="dxa"/>
            <w:vMerge w:val="restart"/>
            <w:vAlign w:val="center"/>
          </w:tcPr>
          <w:p w:rsidR="0088431F" w:rsidRPr="009044C3" w:rsidRDefault="0088431F" w:rsidP="00D6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6.3 Controle de correspondências</w:t>
            </w: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Prestação de Contas da Câmara Municipal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54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PRESTAÇÃO DE CONTAS MUNICÍPIO e INVENTÁRIO GERAL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52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EDITAIS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51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DELIBERAÇÕES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52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ENCAMINHAMENTO ASSESSORIA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70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AVALIAÇÃO ORÇAMENTÁRIA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57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Relatórios do  SECRETÁRIO da Mesa Diretora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42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CERTIDÕES / ATESTADOS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243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ORDEM DO DIA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88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360"/>
          <w:tblCellSpacing w:w="0" w:type="dxa"/>
        </w:trPr>
        <w:tc>
          <w:tcPr>
            <w:tcW w:w="1807" w:type="dxa"/>
            <w:vMerge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RELATÓRIO DO CONTROLE INTERNO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4C3" w:rsidRPr="009044C3" w:rsidTr="0088431F">
        <w:trPr>
          <w:trHeight w:val="355"/>
          <w:tblCellSpacing w:w="0" w:type="dxa"/>
        </w:trPr>
        <w:tc>
          <w:tcPr>
            <w:tcW w:w="1807" w:type="dxa"/>
            <w:vMerge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9044C3" w:rsidRDefault="0088431F" w:rsidP="0081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DOCUMENTOS DE RECEITA E DESPESA DA CÂMARA</w:t>
            </w:r>
          </w:p>
        </w:tc>
        <w:tc>
          <w:tcPr>
            <w:tcW w:w="1749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9044C3" w:rsidRDefault="0088431F" w:rsidP="00D3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9082A" w:rsidRPr="009044C3" w:rsidRDefault="006B533C" w:rsidP="000908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</w:t>
      </w:r>
      <w:r w:rsidR="0009082A" w:rsidRPr="00904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9082A" w:rsidRPr="009044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 DOCUMENTOS DE VALOR HISTÓRICO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9374"/>
      </w:tblGrid>
      <w:tr w:rsidR="009044C3" w:rsidRPr="009044C3" w:rsidTr="0088431F">
        <w:trPr>
          <w:trHeight w:val="360"/>
          <w:tblCellSpacing w:w="0" w:type="dxa"/>
        </w:trPr>
        <w:tc>
          <w:tcPr>
            <w:tcW w:w="1394" w:type="dxa"/>
            <w:vAlign w:val="center"/>
            <w:hideMark/>
          </w:tcPr>
          <w:p w:rsidR="0088431F" w:rsidRPr="009044C3" w:rsidRDefault="0088431F" w:rsidP="0070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ATIVIDADE</w:t>
            </w:r>
          </w:p>
        </w:tc>
        <w:tc>
          <w:tcPr>
            <w:tcW w:w="9374" w:type="dxa"/>
            <w:vAlign w:val="center"/>
            <w:hideMark/>
          </w:tcPr>
          <w:p w:rsidR="0088431F" w:rsidRPr="009044C3" w:rsidRDefault="0088431F" w:rsidP="0050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DESTINAÇÃO</w:t>
            </w:r>
          </w:p>
        </w:tc>
      </w:tr>
      <w:tr w:rsidR="009044C3" w:rsidRPr="009044C3" w:rsidTr="0088431F">
        <w:trPr>
          <w:trHeight w:val="660"/>
          <w:tblCellSpacing w:w="0" w:type="dxa"/>
        </w:trPr>
        <w:tc>
          <w:tcPr>
            <w:tcW w:w="1394" w:type="dxa"/>
            <w:vAlign w:val="center"/>
          </w:tcPr>
          <w:p w:rsidR="0088431F" w:rsidRPr="009044C3" w:rsidRDefault="0088431F" w:rsidP="0070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7.1 Acervo histórico</w:t>
            </w:r>
          </w:p>
        </w:tc>
        <w:tc>
          <w:tcPr>
            <w:tcW w:w="9374" w:type="dxa"/>
            <w:vAlign w:val="center"/>
          </w:tcPr>
          <w:p w:rsidR="0088431F" w:rsidRPr="009044C3" w:rsidRDefault="0088431F" w:rsidP="0050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Os documentos de valor histórico serão digitalizados ou microfilmados E também mantidos no arquivo físico</w:t>
            </w:r>
          </w:p>
        </w:tc>
      </w:tr>
    </w:tbl>
    <w:p w:rsidR="00A01B54" w:rsidRPr="009044C3" w:rsidRDefault="00A01B54" w:rsidP="00A01B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5964" w:rsidRPr="009044C3" w:rsidRDefault="00695964">
      <w:pPr>
        <w:spacing w:after="48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9082A" w:rsidRPr="009044C3" w:rsidRDefault="0009082A">
      <w:pPr>
        <w:spacing w:after="48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EDITAL DE CIÊNCIA DE ELIMINAÇÃO DE DOCUMENTOS </w:t>
      </w: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ANEXO II – RESOLUÇÃO ___ DE ___ DE ________ DE 2024.</w:t>
      </w: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8843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Comissão </w:t>
      </w:r>
      <w:r w:rsidR="00B23667"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Permanente </w:t>
      </w:r>
      <w:r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</w:t>
      </w:r>
      <w:r w:rsidR="00B23667"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>Avaliação de Documentos</w:t>
      </w:r>
      <w:r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>, instituída por ato da Mesa Diretora, publicado no sítio eletrônico da Câmara Municipal de Areado, em conformidade com os prazos definidos na Tabela de Temporalidade de Documentos, faz saber a quem possa interessar que, a partir do 30º dia subsequente à data de publicação deste Edital, a Câmara Municipal de Areado eliminará os documentos abaixo relacionados.</w:t>
      </w:r>
    </w:p>
    <w:p w:rsidR="007A448C" w:rsidRPr="009044C3" w:rsidRDefault="007A448C" w:rsidP="008843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8843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>Os interessados poderão requerer às suas expensas, no prazo citado, o desentranhamento de documentos ou cópias de peças do processo, mediante petição, desde que tenha respectiva qualificação e demonstração de legitimidade do pedido, dirigida à Comissão de Avaliação de Documentos e Arquivo.</w:t>
      </w:r>
    </w:p>
    <w:p w:rsidR="007A448C" w:rsidRPr="009044C3" w:rsidRDefault="007A448C" w:rsidP="007A448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044C3" w:rsidRPr="009044C3" w:rsidTr="00166CBD">
        <w:tc>
          <w:tcPr>
            <w:tcW w:w="297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Categoria do documento</w:t>
            </w:r>
          </w:p>
        </w:tc>
        <w:tc>
          <w:tcPr>
            <w:tcW w:w="552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4C3" w:rsidRPr="009044C3" w:rsidTr="00166CBD">
        <w:tc>
          <w:tcPr>
            <w:tcW w:w="297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Subcategoria </w:t>
            </w:r>
          </w:p>
        </w:tc>
        <w:tc>
          <w:tcPr>
            <w:tcW w:w="552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4C3" w:rsidRPr="009044C3" w:rsidTr="00166CBD">
        <w:tc>
          <w:tcPr>
            <w:tcW w:w="297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descrição</w:t>
            </w:r>
          </w:p>
        </w:tc>
        <w:tc>
          <w:tcPr>
            <w:tcW w:w="552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4C3" w:rsidRPr="009044C3" w:rsidTr="00166CBD">
        <w:tc>
          <w:tcPr>
            <w:tcW w:w="297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Número de caixas</w:t>
            </w:r>
          </w:p>
        </w:tc>
        <w:tc>
          <w:tcPr>
            <w:tcW w:w="552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A448C" w:rsidRPr="009044C3" w:rsidTr="00166CBD">
        <w:tc>
          <w:tcPr>
            <w:tcW w:w="297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Procedimento de descarte</w:t>
            </w:r>
          </w:p>
        </w:tc>
        <w:tc>
          <w:tcPr>
            <w:tcW w:w="552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A448C" w:rsidRPr="009044C3" w:rsidRDefault="007A448C" w:rsidP="007A448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>Areado, em_____ de _______________ de ________.</w:t>
      </w: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</w:t>
      </w: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Comissão Permanente de Avaliação de Documentos </w:t>
      </w: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7AE1" w:rsidRPr="009044C3" w:rsidRDefault="00737AE1" w:rsidP="007A44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37AE1" w:rsidRPr="009044C3" w:rsidRDefault="00737AE1" w:rsidP="007A44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37AE1" w:rsidRPr="009044C3" w:rsidRDefault="00737AE1" w:rsidP="007A44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431F" w:rsidRPr="009044C3" w:rsidRDefault="0088431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TERMO DE ELIMINAÇÃO DE DOCUMENTOS </w:t>
      </w: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ANEXO III – RESOLUÇÃO ___ DE ___ DE ________ DE 2024.</w:t>
      </w:r>
    </w:p>
    <w:p w:rsidR="007A448C" w:rsidRPr="009044C3" w:rsidRDefault="007A448C" w:rsidP="007A448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4C3">
        <w:rPr>
          <w:rFonts w:ascii="Times New Roman" w:hAnsi="Times New Roman" w:cs="Times New Roman"/>
          <w:color w:val="000000" w:themeColor="text1"/>
          <w:sz w:val="24"/>
          <w:szCs w:val="24"/>
        </w:rPr>
        <w:t>Aos ______ dias do mês de ______________ do ano de ______, a Câmara Municipal de Areado, em conformidade com os prazos definidos na Tabela de Temporalidade de Documentos, procedeu o encaminhamento para a eliminação dos documentos abaixo relacionados:</w:t>
      </w:r>
    </w:p>
    <w:p w:rsidR="007A448C" w:rsidRPr="009044C3" w:rsidRDefault="007A448C" w:rsidP="007A448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044C3" w:rsidRPr="009044C3" w:rsidTr="00166CBD">
        <w:tc>
          <w:tcPr>
            <w:tcW w:w="297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Categoria do documento</w:t>
            </w:r>
          </w:p>
        </w:tc>
        <w:tc>
          <w:tcPr>
            <w:tcW w:w="552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4C3" w:rsidRPr="009044C3" w:rsidTr="00166CBD">
        <w:tc>
          <w:tcPr>
            <w:tcW w:w="297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Subcategoria </w:t>
            </w:r>
          </w:p>
        </w:tc>
        <w:tc>
          <w:tcPr>
            <w:tcW w:w="552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4C3" w:rsidRPr="009044C3" w:rsidTr="00166CBD">
        <w:tc>
          <w:tcPr>
            <w:tcW w:w="297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descrição</w:t>
            </w:r>
          </w:p>
        </w:tc>
        <w:tc>
          <w:tcPr>
            <w:tcW w:w="552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44C3" w:rsidRPr="009044C3" w:rsidTr="00166CBD">
        <w:tc>
          <w:tcPr>
            <w:tcW w:w="297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Número de caixas</w:t>
            </w:r>
          </w:p>
        </w:tc>
        <w:tc>
          <w:tcPr>
            <w:tcW w:w="552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A448C" w:rsidRPr="009044C3" w:rsidTr="00166CBD">
        <w:tc>
          <w:tcPr>
            <w:tcW w:w="297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Procedimento de descarte</w:t>
            </w:r>
          </w:p>
        </w:tc>
        <w:tc>
          <w:tcPr>
            <w:tcW w:w="5522" w:type="dxa"/>
          </w:tcPr>
          <w:p w:rsidR="007A448C" w:rsidRPr="009044C3" w:rsidRDefault="007A448C" w:rsidP="00166C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A448C" w:rsidRPr="009044C3" w:rsidRDefault="007A448C" w:rsidP="007A448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>Areado, em_____ de _______________ de ________.</w:t>
      </w:r>
    </w:p>
    <w:p w:rsidR="007A448C" w:rsidRPr="009044C3" w:rsidRDefault="007A448C" w:rsidP="007A448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</w:t>
      </w:r>
    </w:p>
    <w:p w:rsidR="007A448C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5E0F" w:rsidRPr="009044C3" w:rsidRDefault="007A448C" w:rsidP="007A448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4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Comissão Permanente de Avaliação de Documentos </w:t>
      </w:r>
    </w:p>
    <w:p w:rsidR="00D95E0F" w:rsidRPr="009044C3" w:rsidRDefault="00D95E0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5E0F" w:rsidRPr="009044C3" w:rsidRDefault="00D95E0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5E0F" w:rsidRPr="009044C3" w:rsidRDefault="00D95E0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3667" w:rsidRPr="009044C3" w:rsidRDefault="00B2366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3667" w:rsidRPr="009044C3" w:rsidRDefault="00B2366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3667" w:rsidRPr="009044C3" w:rsidRDefault="00B2366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3667" w:rsidRPr="009044C3" w:rsidRDefault="00B2366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3667" w:rsidRPr="009044C3" w:rsidRDefault="00B2366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3667" w:rsidRPr="009044C3" w:rsidRDefault="00B2366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3667" w:rsidRPr="009044C3" w:rsidRDefault="00B23667" w:rsidP="00B23667">
      <w:pPr>
        <w:ind w:firstLine="1134"/>
        <w:jc w:val="both"/>
        <w:rPr>
          <w:color w:val="000000" w:themeColor="text1"/>
        </w:rPr>
      </w:pPr>
    </w:p>
    <w:p w:rsidR="00B23667" w:rsidRPr="009044C3" w:rsidRDefault="00B23667" w:rsidP="00B23667">
      <w:pPr>
        <w:ind w:firstLine="1134"/>
        <w:jc w:val="both"/>
        <w:rPr>
          <w:color w:val="000000" w:themeColor="text1"/>
        </w:rPr>
      </w:pPr>
    </w:p>
    <w:p w:rsidR="0088431F" w:rsidRPr="009044C3" w:rsidRDefault="008843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23667" w:rsidRPr="009044C3" w:rsidRDefault="00B23667" w:rsidP="00B236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FLUXOGRAMA</w:t>
      </w:r>
    </w:p>
    <w:p w:rsidR="00B23667" w:rsidRPr="009044C3" w:rsidRDefault="00B23667" w:rsidP="00B2366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667" w:rsidRPr="009044C3" w:rsidRDefault="00B23667" w:rsidP="00B236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44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IV – RESOLUÇÃO ___ DE ___ DE ________ DE 2024.</w:t>
      </w:r>
    </w:p>
    <w:p w:rsidR="00B23667" w:rsidRPr="009044C3" w:rsidRDefault="00B23667" w:rsidP="00B23667">
      <w:pPr>
        <w:spacing w:after="0"/>
        <w:ind w:firstLine="1134"/>
        <w:jc w:val="both"/>
        <w:rPr>
          <w:color w:val="000000" w:themeColor="text1"/>
        </w:rPr>
      </w:pPr>
    </w:p>
    <w:p w:rsidR="0011784C" w:rsidRPr="009044C3" w:rsidRDefault="007F12EA" w:rsidP="007F12EA">
      <w:pPr>
        <w:spacing w:after="0"/>
        <w:ind w:firstLine="1134"/>
        <w:jc w:val="both"/>
        <w:rPr>
          <w:rFonts w:ascii="Times New Roman" w:hAnsi="Times New Roman" w:cs="Times New Roman"/>
          <w:b/>
          <w:color w:val="000000" w:themeColor="text1"/>
        </w:rPr>
      </w:pPr>
      <w:r w:rsidRPr="009044C3">
        <w:rPr>
          <w:noProof/>
          <w:color w:val="000000" w:themeColor="text1"/>
        </w:rPr>
        <w:drawing>
          <wp:inline distT="0" distB="0" distL="0" distR="0" wp14:anchorId="2E4F6082" wp14:editId="0614BA35">
            <wp:extent cx="5735527" cy="36429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9" t="23408" r="31059" b="17606"/>
                    <a:stretch/>
                  </pic:blipFill>
                  <pic:spPr bwMode="auto">
                    <a:xfrm>
                      <a:off x="0" y="0"/>
                      <a:ext cx="5753048" cy="3654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3667" w:rsidRPr="009044C3">
        <w:rPr>
          <w:color w:val="000000" w:themeColor="text1"/>
        </w:rPr>
        <w:t xml:space="preserve">                                               </w:t>
      </w:r>
      <w:r w:rsidR="00B23667" w:rsidRPr="009044C3">
        <w:rPr>
          <w:b/>
          <w:color w:val="000000" w:themeColor="text1"/>
        </w:rPr>
        <w:t xml:space="preserve">                             </w:t>
      </w:r>
    </w:p>
    <w:bookmarkEnd w:id="0"/>
    <w:p w:rsidR="00B23667" w:rsidRPr="009044C3" w:rsidRDefault="00B2366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23667" w:rsidRPr="009044C3" w:rsidSect="00DA042F">
      <w:headerReference w:type="default" r:id="rId9"/>
      <w:pgSz w:w="11906" w:h="16838"/>
      <w:pgMar w:top="1843" w:right="424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3C" w:rsidRDefault="00DE2E3C" w:rsidP="0045220C">
      <w:pPr>
        <w:spacing w:after="0" w:line="240" w:lineRule="auto"/>
      </w:pPr>
      <w:r>
        <w:separator/>
      </w:r>
    </w:p>
  </w:endnote>
  <w:endnote w:type="continuationSeparator" w:id="0">
    <w:p w:rsidR="00DE2E3C" w:rsidRDefault="00DE2E3C" w:rsidP="004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3C" w:rsidRDefault="00DE2E3C" w:rsidP="0045220C">
      <w:pPr>
        <w:spacing w:after="0" w:line="240" w:lineRule="auto"/>
      </w:pPr>
      <w:r>
        <w:separator/>
      </w:r>
    </w:p>
  </w:footnote>
  <w:footnote w:type="continuationSeparator" w:id="0">
    <w:p w:rsidR="00DE2E3C" w:rsidRDefault="00DE2E3C" w:rsidP="0045220C">
      <w:pPr>
        <w:spacing w:after="0" w:line="240" w:lineRule="auto"/>
      </w:pPr>
      <w:r>
        <w:continuationSeparator/>
      </w:r>
    </w:p>
  </w:footnote>
  <w:footnote w:id="1">
    <w:p w:rsidR="00D322CD" w:rsidRDefault="00D322CD">
      <w:pPr>
        <w:pStyle w:val="Textodenotaderodap"/>
      </w:pPr>
      <w:r>
        <w:rPr>
          <w:rStyle w:val="Refdenotaderodap"/>
        </w:rPr>
        <w:footnoteRef/>
      </w:r>
      <w:r>
        <w:t xml:space="preserve"> A guarda temporária, computada em anos, precede a eliminação dos documentos.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2F" w:rsidRPr="007E5200" w:rsidRDefault="00DA042F" w:rsidP="00DA042F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DA042F" w:rsidRPr="007E5200" w:rsidRDefault="00DA042F" w:rsidP="00DA042F">
    <w:pPr>
      <w:pStyle w:val="Legenda"/>
      <w:framePr w:wrap="auto" w:vAnchor="page" w:hAnchor="page" w:x="5446" w:y="1201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DA042F" w:rsidRDefault="00DA042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A1566" wp14:editId="3113D0A2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1143000" cy="1005205"/>
          <wp:effectExtent l="0" t="0" r="0" b="4445"/>
          <wp:wrapNone/>
          <wp:docPr id="15" name="Imagem 15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1E32"/>
    <w:multiLevelType w:val="hybridMultilevel"/>
    <w:tmpl w:val="39E8E546"/>
    <w:lvl w:ilvl="0" w:tplc="4FCA743E">
      <w:start w:val="1"/>
      <w:numFmt w:val="decimalZero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F8163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3C956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C25C5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909D5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F4EA58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607E80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8A8AD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B4F4F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3E6B4E"/>
    <w:multiLevelType w:val="hybridMultilevel"/>
    <w:tmpl w:val="A694FC88"/>
    <w:lvl w:ilvl="0" w:tplc="B6206AB4">
      <w:start w:val="1"/>
      <w:numFmt w:val="decimalZero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AE279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C09758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DE4860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AE8676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FC06D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3212B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5AD078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0A0CE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4"/>
    <w:rsid w:val="0009082A"/>
    <w:rsid w:val="00092FF3"/>
    <w:rsid w:val="000A7F2B"/>
    <w:rsid w:val="00105E42"/>
    <w:rsid w:val="0011784C"/>
    <w:rsid w:val="00166CBD"/>
    <w:rsid w:val="001B2F04"/>
    <w:rsid w:val="001E7290"/>
    <w:rsid w:val="00205DEB"/>
    <w:rsid w:val="002429BB"/>
    <w:rsid w:val="002D686A"/>
    <w:rsid w:val="002E2C0B"/>
    <w:rsid w:val="002E4E12"/>
    <w:rsid w:val="00332E79"/>
    <w:rsid w:val="003429A3"/>
    <w:rsid w:val="00375C16"/>
    <w:rsid w:val="00416339"/>
    <w:rsid w:val="0045220C"/>
    <w:rsid w:val="00487DD5"/>
    <w:rsid w:val="004E6006"/>
    <w:rsid w:val="00501414"/>
    <w:rsid w:val="00525E52"/>
    <w:rsid w:val="005377F9"/>
    <w:rsid w:val="00571B1C"/>
    <w:rsid w:val="00572CF2"/>
    <w:rsid w:val="00582F2C"/>
    <w:rsid w:val="005A44CC"/>
    <w:rsid w:val="005A5693"/>
    <w:rsid w:val="005B2639"/>
    <w:rsid w:val="0063420A"/>
    <w:rsid w:val="00672F46"/>
    <w:rsid w:val="00695964"/>
    <w:rsid w:val="006B533C"/>
    <w:rsid w:val="006F4792"/>
    <w:rsid w:val="007043AD"/>
    <w:rsid w:val="0070744E"/>
    <w:rsid w:val="00714E60"/>
    <w:rsid w:val="00736512"/>
    <w:rsid w:val="00737AE1"/>
    <w:rsid w:val="0078662E"/>
    <w:rsid w:val="007A448C"/>
    <w:rsid w:val="007C7D4B"/>
    <w:rsid w:val="007F12EA"/>
    <w:rsid w:val="00812ACE"/>
    <w:rsid w:val="00812F19"/>
    <w:rsid w:val="00836460"/>
    <w:rsid w:val="008513B1"/>
    <w:rsid w:val="00864C33"/>
    <w:rsid w:val="0088431F"/>
    <w:rsid w:val="00884ECF"/>
    <w:rsid w:val="008855F3"/>
    <w:rsid w:val="00886061"/>
    <w:rsid w:val="00892989"/>
    <w:rsid w:val="008C6B20"/>
    <w:rsid w:val="008F53DD"/>
    <w:rsid w:val="008F668F"/>
    <w:rsid w:val="009044C3"/>
    <w:rsid w:val="00961F06"/>
    <w:rsid w:val="00966776"/>
    <w:rsid w:val="009D62AD"/>
    <w:rsid w:val="00A01B54"/>
    <w:rsid w:val="00A64D5F"/>
    <w:rsid w:val="00A67AB7"/>
    <w:rsid w:val="00AA5AA9"/>
    <w:rsid w:val="00AC7E4B"/>
    <w:rsid w:val="00AD6F6C"/>
    <w:rsid w:val="00AE47CC"/>
    <w:rsid w:val="00B23667"/>
    <w:rsid w:val="00B876CF"/>
    <w:rsid w:val="00B97892"/>
    <w:rsid w:val="00BA219C"/>
    <w:rsid w:val="00BB2B84"/>
    <w:rsid w:val="00BE5EE3"/>
    <w:rsid w:val="00C45B40"/>
    <w:rsid w:val="00C508E4"/>
    <w:rsid w:val="00C8159A"/>
    <w:rsid w:val="00CA2D31"/>
    <w:rsid w:val="00CB659C"/>
    <w:rsid w:val="00CD147A"/>
    <w:rsid w:val="00CF332C"/>
    <w:rsid w:val="00CF7DF0"/>
    <w:rsid w:val="00D22087"/>
    <w:rsid w:val="00D30D25"/>
    <w:rsid w:val="00D322CD"/>
    <w:rsid w:val="00D7249D"/>
    <w:rsid w:val="00D8178B"/>
    <w:rsid w:val="00D95E0F"/>
    <w:rsid w:val="00DA042F"/>
    <w:rsid w:val="00DB42E8"/>
    <w:rsid w:val="00DD0DA4"/>
    <w:rsid w:val="00DE2E3C"/>
    <w:rsid w:val="00DF1AAD"/>
    <w:rsid w:val="00E16427"/>
    <w:rsid w:val="00E55C49"/>
    <w:rsid w:val="00ED266D"/>
    <w:rsid w:val="00F34E92"/>
    <w:rsid w:val="00F45813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C4C6C-7E44-435C-8B1B-BDE90B5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4C"/>
  </w:style>
  <w:style w:type="paragraph" w:styleId="Ttulo1">
    <w:name w:val="heading 1"/>
    <w:basedOn w:val="Normal"/>
    <w:next w:val="Normal"/>
    <w:link w:val="Ttulo1Char"/>
    <w:uiPriority w:val="9"/>
    <w:qFormat/>
    <w:rsid w:val="00D30D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0D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0D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0D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30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7A44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30D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2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25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2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2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0D2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0D2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0D2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nhideWhenUsed/>
    <w:qFormat/>
    <w:rsid w:val="00D30D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D30D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0D2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30D25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D30D25"/>
    <w:rPr>
      <w:b/>
      <w:bCs/>
    </w:rPr>
  </w:style>
  <w:style w:type="character" w:styleId="nfase">
    <w:name w:val="Emphasis"/>
    <w:basedOn w:val="Fontepargpadro"/>
    <w:uiPriority w:val="20"/>
    <w:qFormat/>
    <w:rsid w:val="00D30D25"/>
    <w:rPr>
      <w:i/>
      <w:iCs/>
    </w:rPr>
  </w:style>
  <w:style w:type="paragraph" w:styleId="SemEspaamento">
    <w:name w:val="No Spacing"/>
    <w:uiPriority w:val="1"/>
    <w:qFormat/>
    <w:rsid w:val="00D30D2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30D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0D2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D2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D2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30D2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30D2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30D25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30D25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30D2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0D25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220C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220C"/>
  </w:style>
  <w:style w:type="character" w:styleId="Refdenotaderodap">
    <w:name w:val="footnote reference"/>
    <w:basedOn w:val="Fontepargpadro"/>
    <w:uiPriority w:val="99"/>
    <w:semiHidden/>
    <w:unhideWhenUsed/>
    <w:rsid w:val="0045220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3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042F"/>
  </w:style>
  <w:style w:type="paragraph" w:styleId="Rodap">
    <w:name w:val="footer"/>
    <w:basedOn w:val="Normal"/>
    <w:link w:val="RodapChar"/>
    <w:uiPriority w:val="99"/>
    <w:unhideWhenUsed/>
    <w:rsid w:val="00D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42F"/>
  </w:style>
  <w:style w:type="paragraph" w:customStyle="1" w:styleId="card-text">
    <w:name w:val="card-text"/>
    <w:basedOn w:val="Normal"/>
    <w:rsid w:val="0090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044C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044C3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90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8485-053B-4970-B8F5-E262B06E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2049</Words>
  <Characters>11070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 Câmara</dc:creator>
  <cp:keywords/>
  <dc:description/>
  <cp:lastModifiedBy>danilofugi</cp:lastModifiedBy>
  <cp:revision>2</cp:revision>
  <cp:lastPrinted>2024-08-06T16:58:00Z</cp:lastPrinted>
  <dcterms:created xsi:type="dcterms:W3CDTF">2024-08-12T15:49:00Z</dcterms:created>
  <dcterms:modified xsi:type="dcterms:W3CDTF">2024-08-12T15:49:00Z</dcterms:modified>
</cp:coreProperties>
</file>