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 xml:space="preserve">EXTRATO DE PUBLICAÇÃO 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1371" w:hanging="10"/>
        <w:rPr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ANEXO VII – Resolução nº. 77/2024, de 03 de Junho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ORIGEM:</w:t>
      </w:r>
      <w:r w:rsidRPr="000A2766">
        <w:rPr>
          <w:rFonts w:eastAsia="Arial"/>
          <w:sz w:val="26"/>
          <w:szCs w:val="26"/>
        </w:rPr>
        <w:t xml:space="preserve"> </w:t>
      </w:r>
      <w:r w:rsidR="00651803" w:rsidRPr="000A2766">
        <w:rPr>
          <w:rFonts w:eastAsia="Arial"/>
          <w:sz w:val="26"/>
          <w:szCs w:val="26"/>
        </w:rPr>
        <w:t xml:space="preserve">Contratação direta. </w:t>
      </w:r>
      <w:r w:rsidR="001B67EF" w:rsidRPr="000A2766">
        <w:rPr>
          <w:rFonts w:eastAsia="Arial"/>
          <w:sz w:val="26"/>
          <w:szCs w:val="26"/>
        </w:rPr>
        <w:t>Processo nº 22. Inexigibilidade nº 03/2024.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CONTRATANTE:</w:t>
      </w:r>
      <w:r w:rsidRPr="000A2766">
        <w:rPr>
          <w:rFonts w:eastAsia="Arial"/>
          <w:sz w:val="26"/>
          <w:szCs w:val="26"/>
        </w:rPr>
        <w:t xml:space="preserve"> Câmara Municipal de Areado.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CONTRATADA (O): </w:t>
      </w:r>
      <w:r w:rsidRPr="000A2766">
        <w:rPr>
          <w:rFonts w:eastAsia="Arial"/>
          <w:sz w:val="26"/>
          <w:szCs w:val="26"/>
        </w:rPr>
        <w:t>Empresa Brasileira de Correios e Telegráfos.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jc w:val="both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OBJETO:</w:t>
      </w:r>
      <w:r w:rsidRPr="000A2766">
        <w:rPr>
          <w:rFonts w:eastAsia="Arial"/>
          <w:sz w:val="26"/>
          <w:szCs w:val="26"/>
        </w:rPr>
        <w:t xml:space="preserve"> Contratação de produtos e serviços por meio de pacote de serviços dos CORREIOS mediante adesão ao Termo de Condições Comerciais, que permite a compra de produtos e utilização dos diversos serviços exclusivos dos CORREIOS por meio dos canais de atendimento disponibilizados. 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VALOR DA CONTRATAÇÃO: </w:t>
      </w:r>
      <w:r w:rsidRPr="000A2766">
        <w:rPr>
          <w:rFonts w:eastAsia="Arial"/>
          <w:sz w:val="26"/>
          <w:szCs w:val="26"/>
        </w:rPr>
        <w:t>Estimado em R$ 10.000,00 (dez mil reais) ano.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1B67EF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Areado, 2 de julho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bookmarkStart w:id="0" w:name="_GoBack"/>
      <w:bookmarkEnd w:id="0"/>
    </w:p>
    <w:sectPr w:rsidR="00250AD6" w:rsidRPr="000A2766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57" w:rsidRDefault="00AD1057" w:rsidP="00633DC3">
      <w:r>
        <w:separator/>
      </w:r>
    </w:p>
  </w:endnote>
  <w:endnote w:type="continuationSeparator" w:id="0">
    <w:p w:rsidR="00AD1057" w:rsidRDefault="00AD1057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AD1057" w:rsidP="00633DC3">
    <w:pPr>
      <w:pStyle w:val="Rodap"/>
      <w:jc w:val="right"/>
    </w:pPr>
  </w:p>
  <w:p w:rsidR="00F60F62" w:rsidRDefault="00AD10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57" w:rsidRDefault="00AD1057" w:rsidP="00633DC3">
      <w:r>
        <w:separator/>
      </w:r>
    </w:p>
  </w:footnote>
  <w:footnote w:type="continuationSeparator" w:id="0">
    <w:p w:rsidR="00AD1057" w:rsidRDefault="00AD1057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AD1057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AD1057" w:rsidP="00A406F8">
    <w:pPr>
      <w:pStyle w:val="Cabealho"/>
      <w:pBdr>
        <w:bottom w:val="single" w:sz="4" w:space="1" w:color="auto"/>
      </w:pBdr>
    </w:pPr>
  </w:p>
  <w:p w:rsidR="00B55272" w:rsidRDefault="00AD1057" w:rsidP="00A406F8">
    <w:pPr>
      <w:pStyle w:val="Cabealho"/>
      <w:pBdr>
        <w:bottom w:val="single" w:sz="4" w:space="1" w:color="auto"/>
      </w:pBdr>
    </w:pPr>
  </w:p>
  <w:p w:rsidR="00B55272" w:rsidRDefault="00AD1057" w:rsidP="00A406F8">
    <w:pPr>
      <w:pStyle w:val="Cabealho"/>
      <w:pBdr>
        <w:bottom w:val="single" w:sz="4" w:space="1" w:color="auto"/>
      </w:pBdr>
    </w:pPr>
  </w:p>
  <w:p w:rsidR="00B55272" w:rsidRDefault="00AD1057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A2766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B67EF"/>
    <w:rsid w:val="001E1076"/>
    <w:rsid w:val="001F147E"/>
    <w:rsid w:val="002125AE"/>
    <w:rsid w:val="00241BA9"/>
    <w:rsid w:val="00250AD6"/>
    <w:rsid w:val="0025183C"/>
    <w:rsid w:val="002567BD"/>
    <w:rsid w:val="00280E6F"/>
    <w:rsid w:val="002936CE"/>
    <w:rsid w:val="002A0563"/>
    <w:rsid w:val="002A2A17"/>
    <w:rsid w:val="002B6630"/>
    <w:rsid w:val="002E2F4A"/>
    <w:rsid w:val="00313685"/>
    <w:rsid w:val="003175A3"/>
    <w:rsid w:val="00320168"/>
    <w:rsid w:val="0033171C"/>
    <w:rsid w:val="00366633"/>
    <w:rsid w:val="003B5345"/>
    <w:rsid w:val="003B60E6"/>
    <w:rsid w:val="003D03B5"/>
    <w:rsid w:val="003F27C5"/>
    <w:rsid w:val="004215A8"/>
    <w:rsid w:val="00423739"/>
    <w:rsid w:val="0043337F"/>
    <w:rsid w:val="0044390D"/>
    <w:rsid w:val="0044692F"/>
    <w:rsid w:val="00454089"/>
    <w:rsid w:val="00454AFF"/>
    <w:rsid w:val="00461C2A"/>
    <w:rsid w:val="0046286D"/>
    <w:rsid w:val="004636D2"/>
    <w:rsid w:val="0046550A"/>
    <w:rsid w:val="00473B66"/>
    <w:rsid w:val="00487A67"/>
    <w:rsid w:val="00495708"/>
    <w:rsid w:val="00495BAA"/>
    <w:rsid w:val="0049748F"/>
    <w:rsid w:val="004B3F96"/>
    <w:rsid w:val="004B7C4F"/>
    <w:rsid w:val="004E0C68"/>
    <w:rsid w:val="004E6E51"/>
    <w:rsid w:val="00510BD9"/>
    <w:rsid w:val="00523D72"/>
    <w:rsid w:val="0055243B"/>
    <w:rsid w:val="00572E27"/>
    <w:rsid w:val="00581866"/>
    <w:rsid w:val="005C1419"/>
    <w:rsid w:val="005E360D"/>
    <w:rsid w:val="005E7514"/>
    <w:rsid w:val="00632D55"/>
    <w:rsid w:val="00633DC3"/>
    <w:rsid w:val="0064452F"/>
    <w:rsid w:val="00651803"/>
    <w:rsid w:val="00667170"/>
    <w:rsid w:val="006C5683"/>
    <w:rsid w:val="00747834"/>
    <w:rsid w:val="007501F3"/>
    <w:rsid w:val="00767608"/>
    <w:rsid w:val="007808BA"/>
    <w:rsid w:val="007971E6"/>
    <w:rsid w:val="007A7C82"/>
    <w:rsid w:val="007C6DF5"/>
    <w:rsid w:val="007D0B8C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9541D"/>
    <w:rsid w:val="009A712F"/>
    <w:rsid w:val="009A7710"/>
    <w:rsid w:val="009C25D7"/>
    <w:rsid w:val="00A000D6"/>
    <w:rsid w:val="00A0265D"/>
    <w:rsid w:val="00A077DE"/>
    <w:rsid w:val="00A67DAA"/>
    <w:rsid w:val="00A84712"/>
    <w:rsid w:val="00AB2905"/>
    <w:rsid w:val="00AB7E5D"/>
    <w:rsid w:val="00AD1057"/>
    <w:rsid w:val="00AD7F30"/>
    <w:rsid w:val="00B246BC"/>
    <w:rsid w:val="00B26BE8"/>
    <w:rsid w:val="00B27AA5"/>
    <w:rsid w:val="00B50273"/>
    <w:rsid w:val="00B54C5B"/>
    <w:rsid w:val="00B70072"/>
    <w:rsid w:val="00BA6AA8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C73B9"/>
    <w:rsid w:val="00CF3376"/>
    <w:rsid w:val="00D01214"/>
    <w:rsid w:val="00D22CC4"/>
    <w:rsid w:val="00D72C12"/>
    <w:rsid w:val="00D74A90"/>
    <w:rsid w:val="00D80900"/>
    <w:rsid w:val="00E16CDE"/>
    <w:rsid w:val="00E2336A"/>
    <w:rsid w:val="00E56097"/>
    <w:rsid w:val="00E7042C"/>
    <w:rsid w:val="00E95B2D"/>
    <w:rsid w:val="00E972CD"/>
    <w:rsid w:val="00EC6715"/>
    <w:rsid w:val="00EC6C8A"/>
    <w:rsid w:val="00ED2574"/>
    <w:rsid w:val="00ED6B3B"/>
    <w:rsid w:val="00EF232F"/>
    <w:rsid w:val="00EF5377"/>
    <w:rsid w:val="00F02316"/>
    <w:rsid w:val="00F21BD6"/>
    <w:rsid w:val="00F24BB4"/>
    <w:rsid w:val="00F26D86"/>
    <w:rsid w:val="00F30391"/>
    <w:rsid w:val="00F30B5B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table" w:customStyle="1" w:styleId="TableGrid">
    <w:name w:val="TableGrid"/>
    <w:rsid w:val="004655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5</cp:revision>
  <cp:lastPrinted>2024-06-19T20:02:00Z</cp:lastPrinted>
  <dcterms:created xsi:type="dcterms:W3CDTF">2024-07-02T20:04:00Z</dcterms:created>
  <dcterms:modified xsi:type="dcterms:W3CDTF">2024-07-03T18:36:00Z</dcterms:modified>
</cp:coreProperties>
</file>